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bookmarkStart w:id="0" w:name="_GoBack"/>
      <w:bookmarkEnd w:id="0"/>
    </w:p>
    <w:p w14:paraId="4F7CC403" w14:textId="77C1150F" w:rsidR="000B01A4" w:rsidRDefault="00DC4C91" w:rsidP="000B01A4">
      <w:pPr>
        <w:pStyle w:val="ListParagraph"/>
        <w:numPr>
          <w:ilvl w:val="0"/>
          <w:numId w:val="1"/>
        </w:numPr>
        <w:spacing w:after="0"/>
      </w:pPr>
      <w:r>
        <w:t>Working group n</w:t>
      </w:r>
      <w:r w:rsidR="000B01A4" w:rsidRPr="003110FB">
        <w:t>ame:</w:t>
      </w:r>
    </w:p>
    <w:p w14:paraId="1FD1BC8D" w14:textId="77777777" w:rsidR="00F707B9" w:rsidRPr="003110FB" w:rsidRDefault="00F707B9" w:rsidP="00F707B9">
      <w:pPr>
        <w:pStyle w:val="ListParagraph"/>
        <w:spacing w:after="0"/>
      </w:pPr>
    </w:p>
    <w:p w14:paraId="007881C2" w14:textId="67E3D71D" w:rsidR="000B01A4" w:rsidRPr="00CD1E70" w:rsidRDefault="00A8431A" w:rsidP="00CD1E70">
      <w:pPr>
        <w:spacing w:after="0"/>
        <w:ind w:left="720"/>
        <w:rPr>
          <w:i/>
          <w:color w:val="0070C0"/>
        </w:rPr>
      </w:pPr>
      <w:r w:rsidRPr="00CD1E70">
        <w:rPr>
          <w:i/>
          <w:color w:val="0070C0"/>
        </w:rPr>
        <w:t>Operations- Retail Establishment</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4C3B2D5C" w14:textId="77777777" w:rsidR="00F707B9" w:rsidRPr="003110FB" w:rsidRDefault="00F707B9" w:rsidP="00F707B9">
      <w:pPr>
        <w:pStyle w:val="ListParagraph"/>
        <w:spacing w:after="0"/>
      </w:pPr>
    </w:p>
    <w:p w14:paraId="2AC05791" w14:textId="19C71735" w:rsidR="00A8431A" w:rsidRPr="00CD1E70" w:rsidRDefault="00A8431A" w:rsidP="00CD1E70">
      <w:pPr>
        <w:spacing w:after="0"/>
        <w:ind w:left="720"/>
        <w:rPr>
          <w:i/>
          <w:color w:val="0070C0"/>
        </w:rPr>
      </w:pPr>
      <w:r w:rsidRPr="00CD1E70">
        <w:rPr>
          <w:i/>
          <w:color w:val="0070C0"/>
        </w:rPr>
        <w:t>Riana Durrett, Executive Director, Nevada Dispensary Association</w:t>
      </w:r>
    </w:p>
    <w:p w14:paraId="16FCE777" w14:textId="77777777" w:rsidR="000B01A4" w:rsidRPr="003110FB" w:rsidRDefault="000B01A4" w:rsidP="000B01A4">
      <w:pPr>
        <w:spacing w:after="0"/>
      </w:pPr>
    </w:p>
    <w:p w14:paraId="3CADE330" w14:textId="1DB18568" w:rsidR="00E9081E" w:rsidRDefault="00DC4C91" w:rsidP="00E9081E">
      <w:pPr>
        <w:pStyle w:val="ListParagraph"/>
        <w:numPr>
          <w:ilvl w:val="0"/>
          <w:numId w:val="1"/>
        </w:numPr>
        <w:spacing w:after="0"/>
      </w:pPr>
      <w:r>
        <w:t>Describe the r</w:t>
      </w:r>
      <w:r w:rsidR="000B01A4" w:rsidRPr="003110FB">
        <w:t>ecommendation:</w:t>
      </w:r>
    </w:p>
    <w:p w14:paraId="27C3DBBD" w14:textId="77777777" w:rsidR="00F707B9" w:rsidRDefault="00F707B9" w:rsidP="00F707B9">
      <w:pPr>
        <w:pStyle w:val="ListParagraph"/>
        <w:spacing w:after="0"/>
      </w:pPr>
    </w:p>
    <w:p w14:paraId="3EFE15E5" w14:textId="645E9570" w:rsidR="00202CA3" w:rsidRPr="00F707B9" w:rsidRDefault="00280946" w:rsidP="00F707B9">
      <w:pPr>
        <w:spacing w:after="0"/>
        <w:ind w:left="720"/>
        <w:jc w:val="both"/>
        <w:rPr>
          <w:i/>
          <w:color w:val="0070C0"/>
        </w:rPr>
      </w:pPr>
      <w:r w:rsidRPr="00F707B9">
        <w:rPr>
          <w:i/>
          <w:color w:val="0070C0"/>
        </w:rPr>
        <w:t xml:space="preserve">The Operations- Retail Establishment working group </w:t>
      </w:r>
      <w:r w:rsidR="003D0C3C" w:rsidRPr="00F707B9">
        <w:rPr>
          <w:i/>
          <w:color w:val="0070C0"/>
        </w:rPr>
        <w:t xml:space="preserve">recommends </w:t>
      </w:r>
      <w:r w:rsidR="00202CA3" w:rsidRPr="00F707B9">
        <w:rPr>
          <w:i/>
          <w:color w:val="0070C0"/>
        </w:rPr>
        <w:t>that the Department of Taxation</w:t>
      </w:r>
      <w:r w:rsidR="00866516" w:rsidRPr="00F707B9">
        <w:rPr>
          <w:i/>
          <w:color w:val="0070C0"/>
        </w:rPr>
        <w:t xml:space="preserve"> (“Department”)</w:t>
      </w:r>
      <w:r w:rsidR="00202CA3" w:rsidRPr="00F707B9">
        <w:rPr>
          <w:i/>
          <w:color w:val="0070C0"/>
        </w:rPr>
        <w:t xml:space="preserve"> </w:t>
      </w:r>
      <w:r w:rsidR="00187238" w:rsidRPr="00F707B9">
        <w:rPr>
          <w:i/>
          <w:color w:val="0070C0"/>
        </w:rPr>
        <w:t xml:space="preserve">apply the medical marijuana program regulations to the retail marijuana program, with certain exceptions.  </w:t>
      </w:r>
      <w:r w:rsidR="00202CA3" w:rsidRPr="00F707B9">
        <w:rPr>
          <w:i/>
          <w:color w:val="0070C0"/>
        </w:rPr>
        <w:t xml:space="preserve">Nevada’s medical marijuana program is exemplary in many areas and the medical marijuana regulations should be adopted and applied to recreational marijuana, with </w:t>
      </w:r>
      <w:r w:rsidR="00187238" w:rsidRPr="00F707B9">
        <w:rPr>
          <w:i/>
          <w:color w:val="0070C0"/>
        </w:rPr>
        <w:t xml:space="preserve">the exceptions identified and discussed below.  The exceptions below pertain to dispensaries as other working groups are expected to address the regulations that pertain to their designated subject matter. </w:t>
      </w:r>
    </w:p>
    <w:p w14:paraId="42C21A26" w14:textId="77777777" w:rsidR="006D6DDC" w:rsidRPr="00F707B9" w:rsidRDefault="006D6DDC" w:rsidP="00F707B9">
      <w:pPr>
        <w:spacing w:after="0"/>
        <w:ind w:left="720"/>
        <w:rPr>
          <w:i/>
          <w:color w:val="0070C0"/>
        </w:rPr>
      </w:pPr>
    </w:p>
    <w:p w14:paraId="2B71EC0A" w14:textId="57CC9B13" w:rsidR="006D6DDC" w:rsidRPr="00F707B9" w:rsidRDefault="006D6DDC" w:rsidP="00F707B9">
      <w:pPr>
        <w:spacing w:after="0"/>
        <w:ind w:left="720"/>
        <w:jc w:val="both"/>
        <w:rPr>
          <w:i/>
          <w:color w:val="0070C0"/>
        </w:rPr>
      </w:pPr>
      <w:r w:rsidRPr="00F707B9">
        <w:rPr>
          <w:i/>
          <w:color w:val="0070C0"/>
        </w:rPr>
        <w:t xml:space="preserve">The regulations promulgated under IP1 should be codified in a separate sub-chapter, for example, NAC 453D. </w:t>
      </w:r>
      <w:r w:rsidR="002E25CC" w:rsidRPr="00F707B9">
        <w:rPr>
          <w:i/>
          <w:color w:val="0070C0"/>
        </w:rPr>
        <w:t xml:space="preserve">  A list of Administrative Codes that must be modified to comport with Initiative Petition 1 is set forth below.  Attached to this recommendation are the actual Administrative Codes and proposed revised language. </w:t>
      </w:r>
    </w:p>
    <w:p w14:paraId="5B97C00F" w14:textId="77777777" w:rsidR="00AF4C63" w:rsidRDefault="00AF4C63" w:rsidP="006D6DDC">
      <w:pPr>
        <w:spacing w:after="0"/>
        <w:ind w:firstLine="360"/>
      </w:pPr>
    </w:p>
    <w:p w14:paraId="1E23EC51" w14:textId="77777777" w:rsidR="00202CA3" w:rsidRDefault="00202CA3" w:rsidP="00280946">
      <w:pPr>
        <w:spacing w:after="0"/>
        <w:ind w:firstLine="360"/>
      </w:pPr>
    </w:p>
    <w:p w14:paraId="4F7CF570" w14:textId="22101A23" w:rsidR="00001831" w:rsidRPr="00F707B9" w:rsidRDefault="00001831" w:rsidP="00202CA3">
      <w:pPr>
        <w:pStyle w:val="ListParagraph"/>
        <w:numPr>
          <w:ilvl w:val="0"/>
          <w:numId w:val="3"/>
        </w:numPr>
        <w:spacing w:after="0"/>
        <w:rPr>
          <w:i/>
          <w:color w:val="0070C0"/>
        </w:rPr>
      </w:pPr>
      <w:r w:rsidRPr="00F707B9">
        <w:rPr>
          <w:i/>
          <w:color w:val="0070C0"/>
        </w:rPr>
        <w:t>Application to Operate Establishment</w:t>
      </w:r>
      <w:r w:rsidR="00C219E5" w:rsidRPr="00F707B9">
        <w:rPr>
          <w:i/>
          <w:color w:val="0070C0"/>
        </w:rPr>
        <w:t xml:space="preserve"> and Licensing</w:t>
      </w:r>
    </w:p>
    <w:p w14:paraId="2CC52458" w14:textId="4EF56727" w:rsidR="00C219E5" w:rsidRPr="00F707B9" w:rsidRDefault="00C219E5" w:rsidP="00202CA3">
      <w:pPr>
        <w:pStyle w:val="ListParagraph"/>
        <w:numPr>
          <w:ilvl w:val="0"/>
          <w:numId w:val="3"/>
        </w:numPr>
        <w:spacing w:after="0"/>
        <w:rPr>
          <w:i/>
          <w:color w:val="0070C0"/>
        </w:rPr>
      </w:pPr>
      <w:r w:rsidRPr="00F707B9">
        <w:rPr>
          <w:i/>
          <w:color w:val="0070C0"/>
        </w:rPr>
        <w:t>Agent Registration Cards and Training</w:t>
      </w:r>
    </w:p>
    <w:p w14:paraId="793059E4" w14:textId="3EC58753" w:rsidR="00C219E5" w:rsidRPr="00F707B9" w:rsidRDefault="00C219E5" w:rsidP="00202CA3">
      <w:pPr>
        <w:pStyle w:val="ListParagraph"/>
        <w:numPr>
          <w:ilvl w:val="0"/>
          <w:numId w:val="3"/>
        </w:numPr>
        <w:spacing w:after="0"/>
        <w:rPr>
          <w:i/>
          <w:color w:val="0070C0"/>
        </w:rPr>
      </w:pPr>
      <w:r w:rsidRPr="00F707B9">
        <w:rPr>
          <w:i/>
          <w:color w:val="0070C0"/>
        </w:rPr>
        <w:t>Entry and Access</w:t>
      </w:r>
    </w:p>
    <w:p w14:paraId="37832F97" w14:textId="0CFA0EEE" w:rsidR="00C219E5" w:rsidRPr="00F707B9" w:rsidRDefault="00C219E5" w:rsidP="00202CA3">
      <w:pPr>
        <w:pStyle w:val="ListParagraph"/>
        <w:numPr>
          <w:ilvl w:val="0"/>
          <w:numId w:val="3"/>
        </w:numPr>
        <w:spacing w:after="0"/>
        <w:rPr>
          <w:i/>
          <w:color w:val="0070C0"/>
        </w:rPr>
      </w:pPr>
      <w:r w:rsidRPr="00F707B9">
        <w:rPr>
          <w:i/>
          <w:color w:val="0070C0"/>
        </w:rPr>
        <w:t>Record Keeping and Acquisitions</w:t>
      </w:r>
    </w:p>
    <w:p w14:paraId="3AE56254" w14:textId="677818A7" w:rsidR="00C219E5" w:rsidRPr="00F707B9" w:rsidRDefault="00C219E5" w:rsidP="00202CA3">
      <w:pPr>
        <w:pStyle w:val="ListParagraph"/>
        <w:numPr>
          <w:ilvl w:val="0"/>
          <w:numId w:val="3"/>
        </w:numPr>
        <w:spacing w:after="0"/>
        <w:rPr>
          <w:i/>
          <w:color w:val="0070C0"/>
        </w:rPr>
      </w:pPr>
      <w:r w:rsidRPr="00F707B9">
        <w:rPr>
          <w:i/>
          <w:color w:val="0070C0"/>
        </w:rPr>
        <w:t>Inventory Control</w:t>
      </w:r>
    </w:p>
    <w:p w14:paraId="701B6ED7" w14:textId="0556A3E6" w:rsidR="00C219E5" w:rsidRPr="00F707B9" w:rsidRDefault="00C219E5" w:rsidP="00202CA3">
      <w:pPr>
        <w:pStyle w:val="ListParagraph"/>
        <w:numPr>
          <w:ilvl w:val="0"/>
          <w:numId w:val="3"/>
        </w:numPr>
        <w:spacing w:after="0"/>
        <w:rPr>
          <w:i/>
          <w:color w:val="0070C0"/>
        </w:rPr>
      </w:pPr>
      <w:r w:rsidRPr="00F707B9">
        <w:rPr>
          <w:i/>
          <w:color w:val="0070C0"/>
        </w:rPr>
        <w:t>Transportation</w:t>
      </w:r>
    </w:p>
    <w:p w14:paraId="67DA713D" w14:textId="42372453" w:rsidR="00C219E5" w:rsidRPr="00F707B9" w:rsidRDefault="00C219E5" w:rsidP="00202CA3">
      <w:pPr>
        <w:pStyle w:val="ListParagraph"/>
        <w:numPr>
          <w:ilvl w:val="0"/>
          <w:numId w:val="3"/>
        </w:numPr>
        <w:spacing w:after="0"/>
        <w:rPr>
          <w:i/>
          <w:color w:val="0070C0"/>
        </w:rPr>
      </w:pPr>
      <w:r w:rsidRPr="00F707B9">
        <w:rPr>
          <w:i/>
          <w:color w:val="0070C0"/>
        </w:rPr>
        <w:t>Patient Records</w:t>
      </w:r>
    </w:p>
    <w:p w14:paraId="587964F5" w14:textId="4422FEEB" w:rsidR="00C219E5" w:rsidRPr="00F707B9" w:rsidRDefault="00C219E5" w:rsidP="00202CA3">
      <w:pPr>
        <w:pStyle w:val="ListParagraph"/>
        <w:numPr>
          <w:ilvl w:val="0"/>
          <w:numId w:val="3"/>
        </w:numPr>
        <w:spacing w:after="0"/>
        <w:rPr>
          <w:i/>
          <w:color w:val="0070C0"/>
        </w:rPr>
      </w:pPr>
      <w:r w:rsidRPr="00F707B9">
        <w:rPr>
          <w:i/>
          <w:color w:val="0070C0"/>
        </w:rPr>
        <w:t>Purchase Limit</w:t>
      </w:r>
    </w:p>
    <w:p w14:paraId="7F890F61" w14:textId="77777777" w:rsidR="00F6256A" w:rsidRPr="00001831" w:rsidRDefault="00F6256A" w:rsidP="00001831">
      <w:pPr>
        <w:spacing w:after="0"/>
      </w:pPr>
    </w:p>
    <w:p w14:paraId="4A3730F6" w14:textId="77777777" w:rsidR="00E9081E" w:rsidRPr="003110FB" w:rsidRDefault="00E9081E" w:rsidP="003D0C3C">
      <w:pPr>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15480ED9" w14:textId="77777777" w:rsidR="00F707B9" w:rsidRPr="003110FB" w:rsidRDefault="00F707B9" w:rsidP="00F707B9">
      <w:pPr>
        <w:pStyle w:val="ListParagraph"/>
        <w:spacing w:after="0"/>
      </w:pPr>
    </w:p>
    <w:p w14:paraId="78239871" w14:textId="405D1074" w:rsidR="00AF130E" w:rsidRPr="00F707B9" w:rsidRDefault="00347B53" w:rsidP="00F707B9">
      <w:pPr>
        <w:spacing w:after="0"/>
        <w:ind w:left="720"/>
        <w:jc w:val="both"/>
        <w:rPr>
          <w:i/>
          <w:color w:val="0070C0"/>
        </w:rPr>
      </w:pPr>
      <w:r w:rsidRPr="00F707B9">
        <w:rPr>
          <w:i/>
          <w:color w:val="0070C0"/>
        </w:rPr>
        <w:t>This recommendation</w:t>
      </w:r>
      <w:r w:rsidR="00783B58" w:rsidRPr="00F707B9">
        <w:rPr>
          <w:i/>
          <w:color w:val="0070C0"/>
        </w:rPr>
        <w:t xml:space="preserve"> promotes the guiding principle to be responsive to the needs and issues of consumers, non-consumers, local governments, and the industry.  The measure would also promote efficient a</w:t>
      </w:r>
      <w:r w:rsidR="00AF130E" w:rsidRPr="00F707B9">
        <w:rPr>
          <w:i/>
          <w:color w:val="0070C0"/>
        </w:rPr>
        <w:t>nd effective regulations that are</w:t>
      </w:r>
      <w:r w:rsidR="00783B58" w:rsidRPr="00F707B9">
        <w:rPr>
          <w:i/>
          <w:color w:val="0070C0"/>
        </w:rPr>
        <w:t xml:space="preserve"> clear and reasonable and not unduly burdensome.  Finally, it would establish regulations that are clear and practical, so that interactions between law enforcement (at the local, state, and federal levels), consumers, and licensees are predictable and understandable. </w:t>
      </w:r>
    </w:p>
    <w:p w14:paraId="089C1892" w14:textId="77777777" w:rsidR="00AF130E" w:rsidRDefault="00AF130E" w:rsidP="00E9081E">
      <w:pPr>
        <w:spacing w:after="0"/>
      </w:pPr>
    </w:p>
    <w:p w14:paraId="67FE160D" w14:textId="77777777" w:rsidR="00E9081E" w:rsidRDefault="00E9081E" w:rsidP="00E9081E">
      <w:pPr>
        <w:pStyle w:val="ListParagraph"/>
        <w:numPr>
          <w:ilvl w:val="0"/>
          <w:numId w:val="1"/>
        </w:numPr>
        <w:spacing w:after="0"/>
      </w:pPr>
      <w:r w:rsidRPr="003110FB">
        <w:lastRenderedPageBreak/>
        <w:t xml:space="preserve">What provision(s) of Question 2 does this recommendation apply to?  </w:t>
      </w:r>
    </w:p>
    <w:p w14:paraId="456F8F7C" w14:textId="77777777" w:rsidR="00F707B9" w:rsidRPr="003110FB" w:rsidRDefault="00F707B9" w:rsidP="00F707B9">
      <w:pPr>
        <w:pStyle w:val="ListParagraph"/>
        <w:spacing w:after="0"/>
      </w:pPr>
    </w:p>
    <w:p w14:paraId="19A0DD99" w14:textId="4475A389" w:rsidR="00E9081E" w:rsidRPr="00F707B9" w:rsidRDefault="00A8431A" w:rsidP="00F707B9">
      <w:pPr>
        <w:spacing w:after="0"/>
        <w:ind w:left="720"/>
        <w:jc w:val="both"/>
        <w:rPr>
          <w:i/>
          <w:color w:val="0070C0"/>
        </w:rPr>
      </w:pPr>
      <w:r w:rsidRPr="00F707B9">
        <w:rPr>
          <w:i/>
          <w:color w:val="0070C0"/>
        </w:rPr>
        <w:t xml:space="preserve">This recommendation applies to Initiative Petition 1 (“IP1”), Section 5, which </w:t>
      </w:r>
      <w:r w:rsidR="00347B53" w:rsidRPr="00F707B9">
        <w:rPr>
          <w:i/>
          <w:color w:val="0070C0"/>
        </w:rPr>
        <w:t>vests</w:t>
      </w:r>
      <w:r w:rsidRPr="00F707B9">
        <w:rPr>
          <w:i/>
          <w:color w:val="0070C0"/>
        </w:rPr>
        <w:t xml:space="preserve"> the responsibility for regulating recreational marijuana in the Department of Taxation</w:t>
      </w:r>
      <w:r w:rsidR="00783B58" w:rsidRPr="00F707B9">
        <w:rPr>
          <w:i/>
          <w:color w:val="0070C0"/>
        </w:rPr>
        <w:t xml:space="preserve"> and allows for a “dual license”</w:t>
      </w:r>
      <w:r w:rsidR="00AF130E" w:rsidRPr="00F707B9">
        <w:rPr>
          <w:i/>
          <w:color w:val="0070C0"/>
        </w:rPr>
        <w:t xml:space="preserve"> of retail and medical establishments.</w:t>
      </w:r>
      <w:r w:rsidRPr="00F707B9">
        <w:rPr>
          <w:i/>
          <w:color w:val="0070C0"/>
        </w:rPr>
        <w:t xml:space="preserve"> </w:t>
      </w:r>
    </w:p>
    <w:p w14:paraId="069D583B" w14:textId="77777777" w:rsidR="00AF130E" w:rsidRPr="003110FB" w:rsidRDefault="00AF130E" w:rsidP="00AF130E">
      <w:pPr>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30E7BDF8" w14:textId="77777777" w:rsidR="00F707B9" w:rsidRPr="003110FB" w:rsidRDefault="00F707B9" w:rsidP="00F707B9">
      <w:pPr>
        <w:pStyle w:val="ListParagraph"/>
        <w:spacing w:after="0"/>
      </w:pPr>
    </w:p>
    <w:p w14:paraId="5C6BCCA4" w14:textId="24D2FB7D" w:rsidR="001B0ADC" w:rsidRPr="00F707B9" w:rsidRDefault="00CC0A14" w:rsidP="00E5080C">
      <w:pPr>
        <w:spacing w:after="0"/>
        <w:ind w:left="720"/>
        <w:jc w:val="both"/>
        <w:rPr>
          <w:i/>
          <w:color w:val="0070C0"/>
        </w:rPr>
      </w:pPr>
      <w:r w:rsidRPr="00F707B9">
        <w:rPr>
          <w:i/>
          <w:color w:val="0070C0"/>
        </w:rPr>
        <w:t xml:space="preserve">The sponsors of this recommendation and leaders in the medical marijuana industry, including legislators and regulators, strongly recommend that the Department adopt the medical marijuana program regulations to regulate the retail market.  The medical marijuana regulations lead the nation in testing, tracking, safety, etc. However, not all of them are compatible or consistent with IP1 and thus some must be revised to comport with IP1.  The regulations that pertain to dispensaries that must be revised to comport with IP1 are addressed above. </w:t>
      </w:r>
    </w:p>
    <w:p w14:paraId="7ABEA5B8" w14:textId="77777777" w:rsidR="001B0ADC" w:rsidRPr="003110FB" w:rsidRDefault="001B0ADC" w:rsidP="001B0ADC">
      <w:pPr>
        <w:spacing w:after="0"/>
      </w:pPr>
    </w:p>
    <w:p w14:paraId="30E263BB" w14:textId="50AA82F7"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86F26DB" w14:textId="77777777" w:rsidR="008924A8" w:rsidRPr="003110FB" w:rsidRDefault="008924A8" w:rsidP="00AF130E">
      <w:pPr>
        <w:pStyle w:val="ListParagraph"/>
        <w:spacing w:after="0"/>
      </w:pPr>
    </w:p>
    <w:p w14:paraId="7818C550" w14:textId="2E94D2A8" w:rsidR="00E9081E" w:rsidRPr="00F707B9" w:rsidRDefault="00CC0A14" w:rsidP="00F707B9">
      <w:pPr>
        <w:spacing w:after="0"/>
        <w:ind w:left="720"/>
        <w:rPr>
          <w:i/>
          <w:color w:val="0070C0"/>
        </w:rPr>
      </w:pPr>
      <w:r w:rsidRPr="00F707B9">
        <w:rPr>
          <w:i/>
          <w:color w:val="0070C0"/>
        </w:rPr>
        <w:t>No</w:t>
      </w:r>
    </w:p>
    <w:p w14:paraId="797F3A33" w14:textId="77777777" w:rsidR="008924A8" w:rsidRPr="003110FB" w:rsidRDefault="008924A8"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5089236F" w:rsidR="00E9081E" w:rsidRPr="00F707B9" w:rsidRDefault="00CC0A14" w:rsidP="00E5080C">
      <w:pPr>
        <w:spacing w:after="0"/>
        <w:ind w:left="720"/>
        <w:jc w:val="both"/>
        <w:rPr>
          <w:i/>
          <w:color w:val="0070C0"/>
        </w:rPr>
      </w:pPr>
      <w:r w:rsidRPr="00F707B9">
        <w:rPr>
          <w:i/>
          <w:color w:val="0070C0"/>
        </w:rPr>
        <w:t>The Department will need to promulgate regulations pertaining to the retail marijuana program, as mandated by IP1</w:t>
      </w:r>
      <w:r w:rsidR="00E818ED" w:rsidRPr="00F707B9">
        <w:rPr>
          <w:i/>
          <w:color w:val="0070C0"/>
        </w:rPr>
        <w:t>.</w:t>
      </w:r>
      <w:r w:rsidRPr="00F707B9">
        <w:rPr>
          <w:i/>
          <w:color w:val="0070C0"/>
        </w:rPr>
        <w:t xml:space="preserve">  The Department should adopt the same regulations that apply to the medical marijuana, with specific exceptions.  The exceptions that apply to di</w:t>
      </w:r>
      <w:r w:rsidR="00DD33C8" w:rsidRPr="00F707B9">
        <w:rPr>
          <w:i/>
          <w:color w:val="0070C0"/>
        </w:rPr>
        <w:t xml:space="preserve">spensaries are discussed above.  </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Additional information (cost of implementation, priority according to the recommendations, etc)</w:t>
      </w:r>
      <w:r w:rsidR="00B70E4E" w:rsidRPr="003110FB">
        <w:t>.</w:t>
      </w:r>
    </w:p>
    <w:p w14:paraId="6FF4DBE2" w14:textId="77777777" w:rsidR="00F707B9" w:rsidRDefault="00F707B9" w:rsidP="00F707B9">
      <w:pPr>
        <w:spacing w:after="0"/>
      </w:pPr>
    </w:p>
    <w:p w14:paraId="09E251C2" w14:textId="75BE5E08" w:rsidR="00F707B9" w:rsidRPr="00F707B9" w:rsidRDefault="00F707B9" w:rsidP="00F707B9">
      <w:pPr>
        <w:spacing w:after="0"/>
        <w:ind w:left="720"/>
        <w:rPr>
          <w:i/>
          <w:color w:val="0070C0"/>
        </w:rPr>
      </w:pPr>
      <w:r w:rsidRPr="00F707B9">
        <w:rPr>
          <w:i/>
          <w:color w:val="0070C0"/>
        </w:rPr>
        <w:t>To be determined</w:t>
      </w:r>
    </w:p>
    <w:p w14:paraId="4A673F9D" w14:textId="77777777" w:rsidR="00F707B9" w:rsidRDefault="00F707B9" w:rsidP="00F707B9">
      <w:pPr>
        <w:spacing w:after="0"/>
      </w:pPr>
    </w:p>
    <w:p w14:paraId="76005674" w14:textId="77777777" w:rsidR="00F707B9" w:rsidRDefault="00F707B9" w:rsidP="00F707B9">
      <w:pPr>
        <w:spacing w:after="0"/>
      </w:pPr>
    </w:p>
    <w:p w14:paraId="060199FA" w14:textId="77777777" w:rsidR="00F707B9" w:rsidRDefault="00F707B9" w:rsidP="00F707B9">
      <w:pPr>
        <w:spacing w:after="0"/>
      </w:pPr>
    </w:p>
    <w:p w14:paraId="067CCCC9" w14:textId="77777777" w:rsidR="00F707B9" w:rsidRDefault="00F707B9" w:rsidP="00F707B9">
      <w:pPr>
        <w:spacing w:after="0"/>
      </w:pPr>
    </w:p>
    <w:p w14:paraId="7CC90100" w14:textId="77777777" w:rsidR="00F707B9" w:rsidRDefault="00F707B9" w:rsidP="00F707B9">
      <w:pPr>
        <w:spacing w:after="0"/>
      </w:pPr>
    </w:p>
    <w:p w14:paraId="46384FDD" w14:textId="77777777" w:rsidR="00F707B9" w:rsidRDefault="00F707B9" w:rsidP="00F707B9">
      <w:pPr>
        <w:spacing w:after="0"/>
      </w:pPr>
    </w:p>
    <w:p w14:paraId="795CBCA7" w14:textId="77777777" w:rsidR="00F707B9" w:rsidRPr="003110FB" w:rsidRDefault="00F707B9" w:rsidP="00F707B9">
      <w:pPr>
        <w:spacing w:after="0"/>
      </w:pP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40064672" w:rsidR="00753FA6" w:rsidRPr="00753FA6" w:rsidRDefault="00753FA6" w:rsidP="009201F4">
      <w:pPr>
        <w:spacing w:after="0"/>
        <w:ind w:left="810" w:hanging="90"/>
        <w:rPr>
          <w:b/>
          <w:sz w:val="18"/>
          <w:szCs w:val="18"/>
        </w:rPr>
      </w:pPr>
      <w:r w:rsidRPr="003110FB">
        <w:rPr>
          <w:sz w:val="18"/>
          <w:szCs w:val="18"/>
        </w:rPr>
        <w:t>*Submit to</w:t>
      </w:r>
      <w:r w:rsidRPr="00753FA6">
        <w:rPr>
          <w:b/>
          <w:sz w:val="18"/>
          <w:szCs w:val="18"/>
        </w:rPr>
        <w:t xml:space="preserve"> </w:t>
      </w:r>
      <w:hyperlink r:id="rId8" w:history="1">
        <w:r w:rsidRPr="00753FA6">
          <w:rPr>
            <w:rStyle w:val="Hyperlink"/>
            <w:b/>
            <w:sz w:val="18"/>
            <w:szCs w:val="18"/>
          </w:rPr>
          <w:t>kelly@quantummark.com</w:t>
        </w:r>
      </w:hyperlink>
      <w:r w:rsidRPr="00753FA6">
        <w:rPr>
          <w:b/>
          <w:sz w:val="18"/>
          <w:szCs w:val="18"/>
        </w:rPr>
        <w:t xml:space="preserve"> </w:t>
      </w:r>
      <w:r w:rsidR="001B10FF" w:rsidRPr="003110FB">
        <w:rPr>
          <w:sz w:val="18"/>
          <w:szCs w:val="18"/>
        </w:rPr>
        <w:t>and</w:t>
      </w:r>
      <w:r w:rsidR="001B10FF">
        <w:rPr>
          <w:b/>
          <w:sz w:val="18"/>
          <w:szCs w:val="18"/>
        </w:rPr>
        <w:t xml:space="preserve"> </w:t>
      </w:r>
      <w:hyperlink r:id="rId9" w:history="1">
        <w:r w:rsidR="001B10FF" w:rsidRPr="00EB7809">
          <w:rPr>
            <w:rStyle w:val="Hyperlink"/>
            <w:b/>
            <w:sz w:val="18"/>
            <w:szCs w:val="18"/>
          </w:rPr>
          <w:t>mkretch@quantummark.com</w:t>
        </w:r>
      </w:hyperlink>
      <w:r w:rsidR="001B10FF">
        <w:rPr>
          <w:b/>
          <w:sz w:val="18"/>
          <w:szCs w:val="18"/>
        </w:rPr>
        <w:t xml:space="preserve"> </w:t>
      </w:r>
      <w:r w:rsidRPr="003110FB">
        <w:rPr>
          <w:sz w:val="18"/>
          <w:szCs w:val="18"/>
        </w:rPr>
        <w:t xml:space="preserve">when completed and ready for presentation to the </w:t>
      </w:r>
      <w:r w:rsidR="00AB71F7">
        <w:rPr>
          <w:sz w:val="18"/>
          <w:szCs w:val="18"/>
        </w:rPr>
        <w:t>Task Force</w:t>
      </w:r>
    </w:p>
    <w:sectPr w:rsidR="00753FA6" w:rsidRPr="00753F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17D9D" w14:textId="77777777" w:rsidR="00A442D6" w:rsidRDefault="00A442D6" w:rsidP="00391997">
      <w:pPr>
        <w:spacing w:after="0" w:line="240" w:lineRule="auto"/>
      </w:pPr>
      <w:r>
        <w:separator/>
      </w:r>
    </w:p>
  </w:endnote>
  <w:endnote w:type="continuationSeparator" w:id="0">
    <w:p w14:paraId="2C3A6522" w14:textId="77777777" w:rsidR="00A442D6" w:rsidRDefault="00A442D6"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5DC1C55D" w:rsidR="00385ACE" w:rsidRPr="00F43822" w:rsidRDefault="00385ACE"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92DA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Pr>
        <w:rFonts w:ascii="Calibri" w:eastAsia="Times New Roman" w:hAnsi="Calibri" w:cs="Times New Roman"/>
        <w:b/>
        <w:i/>
        <w:color w:val="3737A5"/>
        <w:sz w:val="16"/>
        <w:szCs w:val="16"/>
      </w:rPr>
      <w:t>Working Group Presentation to the Task Force Form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707B9">
      <w:rPr>
        <w:rFonts w:ascii="Calibri" w:eastAsia="Times New Roman" w:hAnsi="Calibri" w:cs="Times New Roman"/>
        <w:bCs/>
        <w:i/>
        <w:color w:val="3737A5"/>
        <w:sz w:val="16"/>
        <w:szCs w:val="16"/>
      </w:rPr>
      <w:t>April</w:t>
    </w:r>
    <w:r>
      <w:rPr>
        <w:rFonts w:ascii="Calibri" w:eastAsia="Times New Roman" w:hAnsi="Calibri" w:cs="Times New Roman"/>
        <w:bCs/>
        <w:i/>
        <w:color w:val="3737A5"/>
        <w:sz w:val="16"/>
        <w:szCs w:val="16"/>
      </w:rPr>
      <w:t xml:space="preserve"> 1</w:t>
    </w:r>
    <w:r w:rsidR="00F707B9">
      <w:rPr>
        <w:rFonts w:ascii="Calibri" w:eastAsia="Times New Roman" w:hAnsi="Calibri" w:cs="Times New Roman"/>
        <w:bCs/>
        <w:i/>
        <w:color w:val="3737A5"/>
        <w:sz w:val="16"/>
        <w:szCs w:val="16"/>
      </w:rPr>
      <w:t>4</w:t>
    </w:r>
    <w:r>
      <w:rPr>
        <w:rFonts w:ascii="Calibri" w:eastAsia="Times New Roman" w:hAnsi="Calibri" w:cs="Times New Roman"/>
        <w:bCs/>
        <w:i/>
        <w:color w:val="3737A5"/>
        <w:sz w:val="16"/>
        <w:szCs w:val="16"/>
      </w:rPr>
      <w:t>, 2017</w:t>
    </w:r>
  </w:p>
  <w:p w14:paraId="3EA83F4C" w14:textId="53E31E85" w:rsidR="00385ACE" w:rsidRPr="00F43822" w:rsidRDefault="00385ACE"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385ACE" w:rsidRDefault="00385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C854E" w14:textId="77777777" w:rsidR="00A442D6" w:rsidRDefault="00A442D6" w:rsidP="00391997">
      <w:pPr>
        <w:spacing w:after="0" w:line="240" w:lineRule="auto"/>
      </w:pPr>
      <w:r>
        <w:separator/>
      </w:r>
    </w:p>
  </w:footnote>
  <w:footnote w:type="continuationSeparator" w:id="0">
    <w:p w14:paraId="3364E92A" w14:textId="77777777" w:rsidR="00A442D6" w:rsidRDefault="00A442D6"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3996BB37" w:rsidR="00385ACE" w:rsidRPr="00F43822" w:rsidRDefault="00CD1E70" w:rsidP="008313F9">
    <w:pPr>
      <w:pStyle w:val="Heading2"/>
      <w:ind w:left="0"/>
      <w:jc w:val="center"/>
      <w:rPr>
        <w:sz w:val="22"/>
        <w:szCs w:val="22"/>
      </w:rPr>
    </w:pPr>
    <w:r>
      <w:rPr>
        <w:sz w:val="22"/>
        <w:szCs w:val="22"/>
      </w:rPr>
      <w:t>Dual Use Medical and Retail - Recommendation</w:t>
    </w:r>
  </w:p>
  <w:p w14:paraId="17B7899E" w14:textId="77777777" w:rsidR="00385ACE" w:rsidRDefault="00385ACE"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1062"/>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3F4F"/>
    <w:multiLevelType w:val="hybridMultilevel"/>
    <w:tmpl w:val="C73A9B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1831"/>
    <w:rsid w:val="00002F6E"/>
    <w:rsid w:val="00060468"/>
    <w:rsid w:val="000A61D0"/>
    <w:rsid w:val="000B01A4"/>
    <w:rsid w:val="000B5F15"/>
    <w:rsid w:val="000D1417"/>
    <w:rsid w:val="000F6CB2"/>
    <w:rsid w:val="00101768"/>
    <w:rsid w:val="00114EF2"/>
    <w:rsid w:val="001866F9"/>
    <w:rsid w:val="00187238"/>
    <w:rsid w:val="001A1920"/>
    <w:rsid w:val="001B0ADC"/>
    <w:rsid w:val="001B10FF"/>
    <w:rsid w:val="00202CA3"/>
    <w:rsid w:val="00202E4C"/>
    <w:rsid w:val="00212CEB"/>
    <w:rsid w:val="0023729A"/>
    <w:rsid w:val="00280946"/>
    <w:rsid w:val="002C74D9"/>
    <w:rsid w:val="002E25CC"/>
    <w:rsid w:val="003110FB"/>
    <w:rsid w:val="00347B53"/>
    <w:rsid w:val="00385ACE"/>
    <w:rsid w:val="00391997"/>
    <w:rsid w:val="003D0C3C"/>
    <w:rsid w:val="003F1A0E"/>
    <w:rsid w:val="004039AB"/>
    <w:rsid w:val="00435662"/>
    <w:rsid w:val="00442A3F"/>
    <w:rsid w:val="00461F17"/>
    <w:rsid w:val="0049432C"/>
    <w:rsid w:val="004A1F2F"/>
    <w:rsid w:val="004D29C1"/>
    <w:rsid w:val="004E1544"/>
    <w:rsid w:val="00565923"/>
    <w:rsid w:val="0059366C"/>
    <w:rsid w:val="005C5D7F"/>
    <w:rsid w:val="005E102D"/>
    <w:rsid w:val="005F64C1"/>
    <w:rsid w:val="006B0A7E"/>
    <w:rsid w:val="006D4662"/>
    <w:rsid w:val="006D6DDC"/>
    <w:rsid w:val="00700DCA"/>
    <w:rsid w:val="007217A8"/>
    <w:rsid w:val="00734CA0"/>
    <w:rsid w:val="00753FA6"/>
    <w:rsid w:val="007746E2"/>
    <w:rsid w:val="00774894"/>
    <w:rsid w:val="007765FD"/>
    <w:rsid w:val="00783B58"/>
    <w:rsid w:val="007A2CAF"/>
    <w:rsid w:val="007A4A8C"/>
    <w:rsid w:val="008313F9"/>
    <w:rsid w:val="00866516"/>
    <w:rsid w:val="00882C01"/>
    <w:rsid w:val="00882EE9"/>
    <w:rsid w:val="008924A8"/>
    <w:rsid w:val="008D5094"/>
    <w:rsid w:val="008F0634"/>
    <w:rsid w:val="009201F4"/>
    <w:rsid w:val="009264B2"/>
    <w:rsid w:val="00945097"/>
    <w:rsid w:val="00957E83"/>
    <w:rsid w:val="00961D8A"/>
    <w:rsid w:val="009805E6"/>
    <w:rsid w:val="00996A51"/>
    <w:rsid w:val="009D1938"/>
    <w:rsid w:val="009F3552"/>
    <w:rsid w:val="00A15A68"/>
    <w:rsid w:val="00A312E6"/>
    <w:rsid w:val="00A442D6"/>
    <w:rsid w:val="00A51981"/>
    <w:rsid w:val="00A65F54"/>
    <w:rsid w:val="00A703DF"/>
    <w:rsid w:val="00A8431A"/>
    <w:rsid w:val="00AA4446"/>
    <w:rsid w:val="00AB71F7"/>
    <w:rsid w:val="00AF130E"/>
    <w:rsid w:val="00AF4C63"/>
    <w:rsid w:val="00B11C15"/>
    <w:rsid w:val="00B70E4E"/>
    <w:rsid w:val="00BC0B03"/>
    <w:rsid w:val="00BC0F10"/>
    <w:rsid w:val="00BF6BBC"/>
    <w:rsid w:val="00C219E5"/>
    <w:rsid w:val="00C42596"/>
    <w:rsid w:val="00CA11CD"/>
    <w:rsid w:val="00CC0A14"/>
    <w:rsid w:val="00CC30A8"/>
    <w:rsid w:val="00CD1E70"/>
    <w:rsid w:val="00D22E65"/>
    <w:rsid w:val="00D926ED"/>
    <w:rsid w:val="00D92BBB"/>
    <w:rsid w:val="00DA287B"/>
    <w:rsid w:val="00DC4C91"/>
    <w:rsid w:val="00DD1A10"/>
    <w:rsid w:val="00DD33C8"/>
    <w:rsid w:val="00DE0ABD"/>
    <w:rsid w:val="00E0373D"/>
    <w:rsid w:val="00E45CA2"/>
    <w:rsid w:val="00E5080C"/>
    <w:rsid w:val="00E5183E"/>
    <w:rsid w:val="00E818ED"/>
    <w:rsid w:val="00E9081E"/>
    <w:rsid w:val="00E96CEA"/>
    <w:rsid w:val="00EC03A5"/>
    <w:rsid w:val="00EF5FDA"/>
    <w:rsid w:val="00F046BC"/>
    <w:rsid w:val="00F27CF2"/>
    <w:rsid w:val="00F43822"/>
    <w:rsid w:val="00F6256A"/>
    <w:rsid w:val="00F707B9"/>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08D115BD-E54E-4AD1-9113-AB9AF6D8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quantumma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retch@quantum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2DBF-E4EA-479B-8EEE-A6455C40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6</cp:revision>
  <cp:lastPrinted>2017-03-01T23:42:00Z</cp:lastPrinted>
  <dcterms:created xsi:type="dcterms:W3CDTF">2017-04-06T00:11:00Z</dcterms:created>
  <dcterms:modified xsi:type="dcterms:W3CDTF">2017-04-06T00:19:00Z</dcterms:modified>
</cp:coreProperties>
</file>